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59" w:rsidRDefault="003B6544">
      <w:pPr>
        <w:tabs>
          <w:tab w:val="left" w:pos="993"/>
          <w:tab w:val="left" w:pos="5595"/>
          <w:tab w:val="left" w:pos="7230"/>
          <w:tab w:val="right" w:pos="9354"/>
        </w:tabs>
        <w:ind w:firstLine="595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УТВЕРЖДАЮ</w:t>
      </w:r>
    </w:p>
    <w:p w:rsidR="00F53159" w:rsidRDefault="003B6544">
      <w:pPr>
        <w:tabs>
          <w:tab w:val="left" w:pos="5954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Проректор </w:t>
      </w:r>
    </w:p>
    <w:p w:rsidR="00F53159" w:rsidRDefault="003B6544">
      <w:pPr>
        <w:tabs>
          <w:tab w:val="left" w:pos="5245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</w:p>
    <w:p w:rsidR="00F53159" w:rsidRDefault="003B6544">
      <w:pPr>
        <w:tabs>
          <w:tab w:val="left" w:pos="5954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________________ Н.И. Войтко</w:t>
      </w:r>
    </w:p>
    <w:p w:rsidR="00F53159" w:rsidRDefault="003B6544">
      <w:pPr>
        <w:tabs>
          <w:tab w:val="left" w:pos="5280"/>
          <w:tab w:val="left" w:pos="5954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____ __________ 2021 г.</w:t>
      </w:r>
    </w:p>
    <w:p w:rsidR="00F53159" w:rsidRDefault="00F53159">
      <w:pPr>
        <w:tabs>
          <w:tab w:val="left" w:pos="5595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ДОКУМЕНТАЦИЯ ДЛЯ ПЕРЕГОВОРОВ </w:t>
      </w:r>
    </w:p>
    <w:p w:rsidR="00F53159" w:rsidRDefault="003B6544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по выбору организации на выполнении строительно-монтажных работ по объекту: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«Устройство системы контроля доступа в учебном корпусе №1 по ул. Ожешко, 22 в г. Гродно»</w:t>
      </w:r>
    </w:p>
    <w:p w:rsidR="00F53159" w:rsidRDefault="00F53159">
      <w:pPr>
        <w:ind w:firstLine="5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 Наименование, перечень, количество (объем) выполняемых работ (оказываемых услуг, поставляемых товаров). Требуемые технические, технологические, конструктивные и другие потребительские показатели и характеристики.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Выполнить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в соответствии со строительным проектом Заказчика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строительно-монтажны</w:t>
      </w:r>
      <w:r>
        <w:rPr>
          <w:rFonts w:ascii="Times New Roman" w:eastAsia="Times New Roman" w:hAnsi="Times New Roman" w:cs="Times New Roman"/>
          <w:sz w:val="22"/>
          <w:szCs w:val="22"/>
        </w:rPr>
        <w:t>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 пусконаладочны</w:t>
      </w:r>
      <w:r>
        <w:rPr>
          <w:rFonts w:ascii="Times New Roman" w:eastAsia="Times New Roman" w:hAnsi="Times New Roman" w:cs="Times New Roman"/>
          <w:sz w:val="22"/>
          <w:szCs w:val="22"/>
        </w:rPr>
        <w:t>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работы по объекту: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«Устройство системы контроля доступа в учебном корпусе №1 по ул. Ожешко, 22 в г. Гродно», интеграцию базы данных университета с базой данных СКУД - передачу в базу данных сервера СКУД информации о работниках и фотографий в автоматическом режиме (непосредственный обмен с SQL СУБД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Firebird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университета)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обучить сотрудников университета работе СКУД, пользованию программным обеспечением (формирование отчетов событий, регистрация новых и временных посетителей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, разблокировка (открытие) турникетов и калитки в случае чрезвычайной ситуации.).</w:t>
      </w:r>
    </w:p>
    <w:p w:rsidR="00F53159" w:rsidRDefault="003B6544">
      <w:pPr>
        <w:widowControl w:val="0"/>
        <w:ind w:firstLine="62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Строительный проект Заказчика предусматривает: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установку 4-х турникетов с терминалами распознавания лиц, считывателями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Mifare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Standart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4K, считывателями NFC; 4-х точек доступа (электромагнитный замок, считыватель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Mifare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Standart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4K) (вход/выход) на запасные выходы; 2-х видеодомофонов с одной вызывной панелью; сервера (с ОС Windows10); рабочего места (с ОС Windows10), поставка 4000 смарт-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паучей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стандарта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Mifare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Standart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4K.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 Характеристики и полный перечень устанавливаемого оборудования и выполняемых работ указаны в проектной документации 01.21-00-СКУД. Цветовое решение оборудования и ограждений согласовывается с заказчиком дополнительно.</w:t>
      </w:r>
    </w:p>
    <w:p w:rsidR="00F53159" w:rsidRDefault="003B6544">
      <w:pPr>
        <w:widowControl w:val="0"/>
        <w:ind w:firstLine="56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Приемка Заказчиком работ осуществляется после демонстрации безотказной работы СКУД и ПО, проверки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автообновления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базы данных сервера СКУД после обновления базы данных сотрудников университета.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Работы будут осуществляться  в </w:t>
      </w:r>
      <w:r>
        <w:rPr>
          <w:rFonts w:ascii="Times New Roman" w:eastAsia="Times New Roman" w:hAnsi="Times New Roman" w:cs="Times New Roman"/>
          <w:sz w:val="22"/>
          <w:szCs w:val="22"/>
        </w:rPr>
        <w:t>эксплуатируемом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здании.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Состав работ: согласно проектно-сметной документации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и документации для переговоров.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Класс сложности объекта – К- 3.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Гарантийный срок: на строительно-монтажные работы не менее 5 (пяти) лет с момента приемки объекта в эксплуатацию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, на оборудование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  <w:u w:val="single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гарантийных сроков завода изготовителя (необходимо указать по каждому виду оборудования).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Гарантийное обслуживание программного обеспечения - 12 месяцев с момента приемки объекта в эксплуатацию.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Работы выполняются из материалов подрядной организации, оборудование закупается по согласованию с Заказчиком подрядной организацией в установленном законодательством порядке.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должен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соответствовать спецификации проекта.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Подрядная организация должна подтвердить свои права на использование и установку программного обеспечения.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Получить ответы на вопросы, касающиеся технических характеристик предмета заказа (ознакомление с ПСД) Вы можете по адресу: г. Гродно, ул. Телеграфная, 5, тел.+375 (152) </w:t>
      </w:r>
      <w:r>
        <w:rPr>
          <w:rFonts w:ascii="Times New Roman" w:eastAsia="Times New Roman" w:hAnsi="Times New Roman" w:cs="Times New Roman"/>
          <w:sz w:val="22"/>
          <w:szCs w:val="22"/>
        </w:rPr>
        <w:t>772059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+375 29 7</w:t>
      </w:r>
      <w:r>
        <w:rPr>
          <w:rFonts w:ascii="Times New Roman" w:eastAsia="Times New Roman" w:hAnsi="Times New Roman" w:cs="Times New Roman"/>
          <w:sz w:val="22"/>
          <w:szCs w:val="22"/>
        </w:rPr>
        <w:t>813956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ИотчикЕкатеринаАлександровна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– инженер-энергетик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ООРиС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).  Всю интересующую информацию по организации и проведению процедуры переговоров Вы можете получить по адресу: г. Гродно, ул. Ожешко,22,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каб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 335а, либо по тел.: +375 (152) 770649 (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Щербатюк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Александр Викторович – ведущий специалист по организации закупок, секретарь комиссии).</w:t>
      </w:r>
    </w:p>
    <w:p w:rsidR="00F53159" w:rsidRDefault="003B6544">
      <w:p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2. Требования к сроку выполнения заказа. </w:t>
      </w:r>
    </w:p>
    <w:p w:rsidR="00F53159" w:rsidRDefault="003B6544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Предполагаемые сроки строительства объекта</w:t>
      </w:r>
    </w:p>
    <w:p w:rsidR="00F53159" w:rsidRDefault="003B6544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Начало: </w:t>
      </w:r>
      <w:r>
        <w:rPr>
          <w:rFonts w:ascii="Times New Roman" w:eastAsia="Times New Roman" w:hAnsi="Times New Roman" w:cs="Times New Roman"/>
          <w:sz w:val="22"/>
          <w:szCs w:val="22"/>
        </w:rPr>
        <w:t>12.04.2021</w:t>
      </w:r>
    </w:p>
    <w:p w:rsidR="00F53159" w:rsidRDefault="003B6544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Окончание: </w:t>
      </w:r>
      <w:r>
        <w:rPr>
          <w:rFonts w:ascii="Times New Roman" w:eastAsia="Times New Roman" w:hAnsi="Times New Roman" w:cs="Times New Roman"/>
          <w:sz w:val="22"/>
          <w:szCs w:val="22"/>
        </w:rPr>
        <w:t>11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.0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.2021 г.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Цена заказа, применяемая в качестве ориентировочной, с возможностью внесения предложений о ее снижении в белорусских рублях, условия оплаты.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Ориентировочная стоимость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строительно-монтажных и пусконаладочных работ с учетом даты начала и продолжительности строительства объекта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согласно проектной документации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 возможностью внесения предложений о её снижении: 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26 215,80 (двадцать шесть тысяч двести пятнадцать белорусских рублей 80 копеек).</w:t>
      </w:r>
    </w:p>
    <w:p w:rsidR="00F53159" w:rsidRDefault="0097069D">
      <w:pPr>
        <w:ind w:firstLine="5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7069D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4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3B6544" w:rsidRPr="0097069D">
        <w:rPr>
          <w:rFonts w:ascii="Times New Roman" w:eastAsia="Times New Roman" w:hAnsi="Times New Roman" w:cs="Times New Roman"/>
          <w:b/>
          <w:sz w:val="22"/>
          <w:szCs w:val="22"/>
        </w:rPr>
        <w:t>Оборудования оплачивается согласно товарно-транспортных накладных</w:t>
      </w:r>
      <w:r w:rsidR="003B6544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 xml:space="preserve">Стоимость оборудования не может превышать сумму, указанную в сметной документации- 65 295,20 (шестьдесят пять тысяч двести девяносто пять белорусских рублей 20 копеек) </w:t>
      </w:r>
      <w:r w:rsidR="00A40537">
        <w:rPr>
          <w:rFonts w:ascii="Times New Roman" w:eastAsia="Times New Roman" w:hAnsi="Times New Roman" w:cs="Times New Roman"/>
          <w:b/>
          <w:sz w:val="22"/>
          <w:szCs w:val="22"/>
        </w:rPr>
        <w:t>руб. (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>стоимость оборудования с уче</w:t>
      </w:r>
      <w:r w:rsidR="00A40537">
        <w:rPr>
          <w:rFonts w:ascii="Times New Roman" w:eastAsia="Times New Roman" w:hAnsi="Times New Roman" w:cs="Times New Roman"/>
          <w:b/>
          <w:sz w:val="22"/>
          <w:szCs w:val="22"/>
        </w:rPr>
        <w:t>том НДС и транспортных расходов)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:rsidR="00F53159" w:rsidRDefault="003B6544">
      <w:pPr>
        <w:widowControl w:val="0"/>
        <w:ind w:firstLine="6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цену коммерческого предложения должен быть включен весь комплекс работ по строительству объекта, стоимость эксплуатации машин и механизмов, стоимость материалов, транспортные расходы, пусконаладочные работы и иные дополнительные работы (услуги), необходимые для получения конечного продукта, а также налоги и сборы, уплачиваемые в соответствии с законодательством Республики Беларусь.</w:t>
      </w:r>
    </w:p>
    <w:p w:rsidR="00F53159" w:rsidRDefault="003B6544">
      <w:pPr>
        <w:widowControl w:val="0"/>
        <w:ind w:firstLine="6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>Дополнительно указывается стоимость оборудования</w:t>
      </w:r>
      <w:r w:rsidRPr="003B6544">
        <w:rPr>
          <w:rFonts w:ascii="Times New Roman" w:eastAsia="Times New Roman" w:hAnsi="Times New Roman" w:cs="Times New Roman"/>
          <w:sz w:val="22"/>
          <w:szCs w:val="22"/>
        </w:rPr>
        <w:t xml:space="preserve"> в комплекте с</w:t>
      </w: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программн</w:t>
      </w:r>
      <w:r w:rsidRPr="003B6544">
        <w:rPr>
          <w:rFonts w:ascii="Times New Roman" w:eastAsia="Times New Roman" w:hAnsi="Times New Roman" w:cs="Times New Roman"/>
          <w:sz w:val="22"/>
          <w:szCs w:val="22"/>
        </w:rPr>
        <w:t>ым</w:t>
      </w: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обеспечени</w:t>
      </w:r>
      <w:r w:rsidRPr="003B6544">
        <w:rPr>
          <w:rFonts w:ascii="Times New Roman" w:eastAsia="Times New Roman" w:hAnsi="Times New Roman" w:cs="Times New Roman"/>
          <w:sz w:val="22"/>
          <w:szCs w:val="22"/>
        </w:rPr>
        <w:t>ем</w:t>
      </w: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3B6544">
        <w:t xml:space="preserve"> </w:t>
      </w:r>
      <w:r w:rsidRPr="003B6544">
        <w:rPr>
          <w:rFonts w:ascii="Times New Roman" w:eastAsia="Times New Roman" w:hAnsi="Times New Roman" w:cs="Times New Roman"/>
          <w:sz w:val="24"/>
          <w:szCs w:val="24"/>
        </w:rPr>
        <w:t>Аналогичное оборудование согласовывается с заказчиком и проектировщиком (по договору авторского надзора) по ит</w:t>
      </w:r>
      <w:bookmarkStart w:id="0" w:name="_GoBack"/>
      <w:bookmarkEnd w:id="0"/>
      <w:r w:rsidRPr="003B6544">
        <w:rPr>
          <w:rFonts w:ascii="Times New Roman" w:eastAsia="Times New Roman" w:hAnsi="Times New Roman" w:cs="Times New Roman"/>
          <w:sz w:val="24"/>
          <w:szCs w:val="24"/>
        </w:rPr>
        <w:t xml:space="preserve">огам переговоров, цена предлагаемого аналога не должна превышать сметную стоимость оборудования в комплекте с программным обеспечением. В случае </w:t>
      </w:r>
      <w:proofErr w:type="gramStart"/>
      <w:r w:rsidRPr="003B6544">
        <w:rPr>
          <w:rFonts w:ascii="Times New Roman" w:eastAsia="Times New Roman" w:hAnsi="Times New Roman" w:cs="Times New Roman"/>
          <w:sz w:val="24"/>
          <w:szCs w:val="24"/>
        </w:rPr>
        <w:t>не согласования</w:t>
      </w:r>
      <w:proofErr w:type="gramEnd"/>
      <w:r w:rsidRPr="003B6544">
        <w:rPr>
          <w:rFonts w:ascii="Times New Roman" w:eastAsia="Times New Roman" w:hAnsi="Times New Roman" w:cs="Times New Roman"/>
          <w:sz w:val="24"/>
          <w:szCs w:val="24"/>
        </w:rPr>
        <w:t xml:space="preserve"> заказчиком предлагаемого оборудования, подрядчик обязан поставить оборудование согласно проекту.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Условия оплаты: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по факту выполненных работ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в течение 20 (двадцати) банковских дней с даты подписания справки (справок) о стоимости выполненных работ (форма С-3а), акта (актов) сдачи-приемки выполненных работ (форма С-2б и С-2а) обеими сторонами,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согласно графику платежей (приложение 2).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Предложения с предоставлением аванса не рассматриваются (отклоняются).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Дополнительные работы, возникающие в ходе производства работ, оплачиваются согласно расчету договорной цены подрядчика, прилагаемому к договору, без применения повышающих коэффициентов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в соответствии с Постановлением Совета Министров Республики Беларусь №1553 от 18.11.2011 «О некоторых мерах по реализации Указа Президента Республики Беларусь от 11 августа 2011 г. № 361»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53159" w:rsidRDefault="0097069D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</w:t>
      </w:r>
      <w:r w:rsidR="003B654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. Источник финансирования.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обственные средства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53159" w:rsidRDefault="0097069D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</w:t>
      </w:r>
      <w:r w:rsidR="003B654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 Перечень документов, которые участнику необходимо представить для участия в переговорах.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Участник должен предоставить: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сопроводительное письмо к конкурсному предложению, подтверждающее принятие каждого пункта условий выдвинутых документацией для переговоров, и согласие участника на подписание договора, а также содержащие сведения об отсутств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ии у у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частника задолженности по уплате налогов, сборов (пошлин), пеней, за подписью директора;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расчет цены предложения (согласно ПСД) в ценах на дату начала работ, с учетом прогнозных индексов на период выполнения работ согласно графику производства работ с указанием отдельно стоимости материалов и механизмов, пусконаладочных работ и НДС, за подписью директора, (стоимость оборудования и программного обеспечения отражается отдельной строкой);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бухгалтерская отчетность за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последние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отчетные год и период. Организациям и индивидуальным предпринимателям, применяющим упрощенную систему налогообложения и ведущим книгу учета доходов и расходов, предоставляют выписку из книги учета доходов и расходов за последние четыре квартала, предшествующие дате подачи предложений;</w:t>
      </w:r>
    </w:p>
    <w:p w:rsidR="00F53159" w:rsidRDefault="003B6544">
      <w:pPr>
        <w:tabs>
          <w:tab w:val="left" w:pos="-284"/>
        </w:tabs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копия свидетельства о государственной регистрации;</w:t>
      </w:r>
    </w:p>
    <w:p w:rsidR="00F53159" w:rsidRDefault="003B6544">
      <w:pPr>
        <w:tabs>
          <w:tab w:val="left" w:pos="-284"/>
        </w:tabs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справка обслуживающего банка об отсутствии задолженности по картотеке «Расчетные документы, неоплаченные в срок»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 ранее чем на 1-е число месяца, предшествующего дню подачи предложения;</w:t>
      </w:r>
    </w:p>
    <w:p w:rsidR="00F53159" w:rsidRDefault="003B6544">
      <w:pPr>
        <w:tabs>
          <w:tab w:val="left" w:pos="-28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отзывы заказчиков о качестве и соблюдении сроков выполнения аналогичных работ (не менее трех);</w:t>
      </w:r>
    </w:p>
    <w:p w:rsidR="00F53159" w:rsidRDefault="003B6544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- лицензию МВД на монтаж, наладку и средств и систем охраны;</w:t>
      </w:r>
    </w:p>
    <w:p w:rsidR="00F53159" w:rsidRDefault="003B6544">
      <w:pPr>
        <w:tabs>
          <w:tab w:val="left" w:pos="993"/>
        </w:tabs>
        <w:ind w:firstLine="56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 сертификат (лицензия) официального представителя (инсталлятора) от разработчика программного обеспечения;</w:t>
      </w:r>
    </w:p>
    <w:p w:rsidR="00F53159" w:rsidRDefault="003B6544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график платежей;</w:t>
      </w:r>
    </w:p>
    <w:p w:rsidR="00F53159" w:rsidRDefault="003B6544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график производства работ;</w:t>
      </w:r>
    </w:p>
    <w:p w:rsidR="00F53159" w:rsidRDefault="003B654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письмо подтверждающее, что участник имеет право выступать  участником процедур закупок товаров (работ, услуг) при строительстве в соответствии с п.2 ст.57 Закона Республики Беларусь от 5 июля 2004г. №300-З «Об архитектурной, градостроительной и строительной деятельности в Республике Беларусь» (далее – Указ).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Участниками процедур закупок товаров (работ, услуг) при строительстве в соответствии с Указом не могут выступать: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организатор проводимых процедур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учредитель, участник, собственник имущества организатора процедур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дочернее унитарное предприятие, дочернее или зависимое хозяйственное общество, обособленное структурное подразделение (филиал) организатора процедур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юридическое лицо, находящееся в процессе реорганизации, за исключением юридического лица, к которому присоединяется другое юридическое лицо;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юридическое лицо (индивидуальный предприниматель), находящееся (находящийся) в процессе ликвидации (в стадии прекращения деятельности), в том числе признанное (признанный) в установленном порядке экономически несостоятельным (банкротом), за исключением юридического лица, находящегося в процедуре санации;</w:t>
      </w:r>
      <w:proofErr w:type="gramEnd"/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лицо, включенное в список поставщиков (подрядчиков, исполнителей), временно не допускаемых к участию в процедурах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лицо, включенное в реестр поставщиков (подрядчиков, исполнителей), временно не допускаемых к закупкам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лицо, включенное в реестр коммерческих организаций и индивидуальных предпринимателей с повышенным риском совершения правонарушений в экономической сфере.</w:t>
      </w:r>
    </w:p>
    <w:p w:rsidR="00F53159" w:rsidRDefault="0097069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</w:t>
      </w:r>
      <w:r w:rsidR="003B654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.Требования к содержанию, форме и оформлению предложений для переговоров.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Предложения представляются в письменной форме на бумажном носителе в одном экземпляре, подписываются руководителем организации (или уполномоченным лицом), с приложением всех необходимых документов и смет.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Все страницы предложения должны быть размещены в порядке, указанном в документации для переговоров, пронумерованы и прошиты.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Представляемое участником предложения для переговоров должно содержать следующие сведения: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Наименование, юридический адрес участника.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Стоимость (по отдельности):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строительно-монтажных и пусконаладочных работ с учетом даты начала и продолжительности строительства объекта;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стоимость оборудования;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стоимость программного обеспечения.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Срок выполнения работ.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Гарантийный срок.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Условия оплаты за выполненные работы.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Предложения для переговоров, отправленные по факсу, электронной почте или подготовленные с нарушениями требований документации по переговорам, к рассмотрению не принимаются.</w:t>
      </w:r>
    </w:p>
    <w:p w:rsidR="00F53159" w:rsidRDefault="0097069D">
      <w:pPr>
        <w:ind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8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и срок отзыва предложений для переговоров, а также порядок внесения изменений в такие предложения. 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Участник путем письменного уведомления до окончания срока подачи предложений вправе отозвать свое предложение и внести в него изменения. Изменения в предложение подаются в том же порядке, что и сами предложения.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Порядок и срок представления разъяснений положений документации для переговоров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yellow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Участник, любое юридическое или физическое лицо, в том числе индивидуальный предприниматель, не позднее одного рабочего дня до истечения  срока для подготовки и подачи предложений вправе обратиться к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ГрГУ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им. Янки Купалы с запросом о разъяснении документации для переговоров.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Конечный срок предоставления разъяснений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yellow"/>
        </w:rPr>
        <w:t>01.04.2021 до 17:00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>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9. Порядок, место и срок подачи предложений для переговоров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Предложение подается в запечатанном конверте по адресу: 230023, г. Гродно, ул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.О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жешко,22,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каб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 115а – отдел делопроизводства и контроля с указанием на конверте «Для секретаря комиссии», предмета закупки, с обязательной пометкой «Не вскрывать».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Конечный срок подачи предложений: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yellow"/>
        </w:rPr>
        <w:t>02.04.2021 до 10:00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>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10. Место, дата и время, порядок вскрытия конвертов с предложениями для переговоров.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Заседание комиссии для проведения процедур закупок и подрядных  торгов на строительство объектов по вопросу вскрытия конвертов с предложениями будет проводиться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yellow"/>
        </w:rPr>
        <w:t>02.04.2021 в 10:30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по адресу: г. Гродно, ул. Ожешко, 22, каб.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209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11. Право организатора переговоров на запрос у участников разъяснений их предложений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Default="003B65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ГрГУ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им. Янки Купалы вправе обратиться с запросом к любому участнику с просьбой разъяснения их предложений до момента вынесения решения.</w:t>
      </w:r>
    </w:p>
    <w:p w:rsidR="00F53159" w:rsidRDefault="003B65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Организатор вправе отказаться от проведения переговоров в любой срок без возмещения участникам убытков.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12.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Процедура улучшения предложения для переговоров (снижение цены первоначально поданного предложения участника)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. </w:t>
      </w:r>
    </w:p>
    <w:p w:rsidR="00F53159" w:rsidRDefault="003B654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Процедура улучшения предложения для переговоров является дополнительным элементом переговоров и заключается в повышении предпочтительности предложений путем добровольного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снижения участниками цены своих первоначально поданных предложений, при условии сохранения остальных положений своих предложений без изменений.</w:t>
      </w:r>
    </w:p>
    <w:p w:rsidR="00F53159" w:rsidRDefault="003B654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процедуре улучшения предложения для переговоров имеют право участвовать все участники, допущенные к переговорам. Участник вправе не участвовать в процедуре улучшения предложения для переговоров, при этом его предложение остается действующим с предложенными им первоначальными условиями. Предложение участника, в соответствии с которым условия, содержащиеся в документации для переговоров, могут быть ухудшены, не рассматривается.</w:t>
      </w:r>
    </w:p>
    <w:p w:rsidR="00F53159" w:rsidRDefault="003B654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Проведение переговоров и процедура улучшения предложения для переговоров состоится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yellow"/>
        </w:rPr>
        <w:t>06.04.2021 в 13:30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 адресу: г. Гродно, ул. Ожешко,22, ауд. 209 (при изменении даты, времени  и ауд. будет  сообщено дополнительно по телефону) с личным присутствием представителей участников, при наличии у таких лиц доверенности или документа подтверждающего личность участника. Участник, улучшивший предложение (снизивший первоначальную цену заказа и/или улучшивший другие условия поставки товара) и признанный победителем переговоров, обязан в течение 1 рабочего дня представить откорректированные документы, определяющие его предложения, оформленные в порядке, предусмотренном для подачи предложений для переговоров.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13. Требования к участнику, в соответствии с которыми переговоры могут проводиться его уполномоченным лицом, и требования к документу, подтверждающему такие полномочия (доверенность или иной документ), который представляется перед началом проведения переговоров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переговорах может участвовать уполномоченное участником лицо при наличии у него подтверждающих документов (доверенности, документ подтверждающий личность).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14. Критерии оценки победителя переговоров, их значимость и порядок определения такого победителя.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Выбор победителя переговоров будет осуществлен по результатам рассмотрения конкурсных предложений и по критерию – наиболее низкая цена выполнения работ без применения преференциальной поправки.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FF0000"/>
          <w:sz w:val="22"/>
          <w:szCs w:val="22"/>
        </w:rPr>
        <w:t>За начальную цену для понижения будет принята стоимость строительно-монтажных работ БЕЗ учета стоимости оборудования в комплекте с программным обеспечением.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15. Проект договора и срок, в течение которого он должен быть заключен.</w:t>
      </w:r>
    </w:p>
    <w:p w:rsidR="00F53159" w:rsidRDefault="003B6544">
      <w:pPr>
        <w:ind w:firstLine="539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sz w:val="22"/>
          <w:szCs w:val="22"/>
        </w:rPr>
        <w:t>Проект договора прилагается.</w:t>
      </w:r>
    </w:p>
    <w:p w:rsidR="00F53159" w:rsidRDefault="003B6544">
      <w:pPr>
        <w:ind w:firstLine="53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Договор с победителем переговоров заключается не позднее 10 календарных дней после утверждения протокола о проведении переговоров.</w:t>
      </w:r>
    </w:p>
    <w:p w:rsidR="00F53159" w:rsidRDefault="003B6544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заключаемый договор включаются условия, согласованные по результатам переговоров. При заключении договора в него по взаимному согласию сторон могут быть внесены отдельные условия, которые не были предметом рассмотрения на переговорах, но не изменяют согласованные существенные условия договора, к которым относятся объем, срок выполнения работ (оказания услуг, поставки товаров), стоимость, порядок оплаты, гарантийный срок.</w:t>
      </w:r>
    </w:p>
    <w:p w:rsidR="00F53159" w:rsidRDefault="00F53159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F53159">
      <w:pPr>
        <w:tabs>
          <w:tab w:val="left" w:pos="7371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Начальник АХУ                                                        ______________                 Р.И.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Касян</w:t>
      </w:r>
      <w:proofErr w:type="spellEnd"/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Начальник отдела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ОРиС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______________                 О.П.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Трасько</w:t>
      </w:r>
      <w:proofErr w:type="spellEnd"/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Документацию для переговоров составил:</w:t>
      </w: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Инженер-энергетик отдела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ОРиС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             ______________               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Иотчик</w:t>
      </w:r>
      <w:proofErr w:type="spellEnd"/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СОГЛАСОВАНО: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Начальник отдела закупок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      ______________                 В.Б. Кулаковский    </w:t>
      </w:r>
    </w:p>
    <w:p w:rsidR="00F53159" w:rsidRDefault="003B654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 ___________ 2021 г.</w:t>
      </w:r>
    </w:p>
    <w:p w:rsidR="00F53159" w:rsidRDefault="00F53159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Начальник ИАЦ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      ______________               Е.В.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Олизарович</w:t>
      </w:r>
      <w:proofErr w:type="spellEnd"/>
    </w:p>
    <w:p w:rsidR="00F53159" w:rsidRDefault="003B654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2" w:name="_heading=h.gjdgxs" w:colFirst="0" w:colLast="0"/>
      <w:bookmarkEnd w:id="2"/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ind w:left="20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Приложение 1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spacing w:after="596"/>
        <w:ind w:left="3000" w:firstLine="6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Оформляется, на фирменном бланке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ind w:left="39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График строительства</w:t>
      </w:r>
    </w:p>
    <w:p w:rsidR="00F53159" w:rsidRDefault="003B6544">
      <w:pPr>
        <w:ind w:left="6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______________________________________ (наименование объекта)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d"/>
        <w:tblW w:w="965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374"/>
        <w:gridCol w:w="1907"/>
        <w:gridCol w:w="1096"/>
        <w:gridCol w:w="1221"/>
        <w:gridCol w:w="614"/>
        <w:gridCol w:w="860"/>
        <w:gridCol w:w="860"/>
        <w:gridCol w:w="860"/>
        <w:gridCol w:w="860"/>
      </w:tblGrid>
      <w:tr w:rsidR="00F53159">
        <w:trPr>
          <w:trHeight w:val="475"/>
          <w:jc w:val="center"/>
        </w:trPr>
        <w:tc>
          <w:tcPr>
            <w:tcW w:w="137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Обоснование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Наименование видов работ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spacing w:after="120"/>
              <w:ind w:left="1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Единица</w:t>
            </w:r>
          </w:p>
          <w:p w:rsidR="00F53159" w:rsidRDefault="003B6544">
            <w:pPr>
              <w:spacing w:before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измерения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Количество</w:t>
            </w:r>
          </w:p>
        </w:tc>
        <w:tc>
          <w:tcPr>
            <w:tcW w:w="4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Стоимость, млн. рублей</w:t>
            </w:r>
          </w:p>
        </w:tc>
      </w:tr>
      <w:tr w:rsidR="00F53159">
        <w:trPr>
          <w:trHeight w:val="1370"/>
          <w:jc w:val="center"/>
        </w:trPr>
        <w:tc>
          <w:tcPr>
            <w:tcW w:w="137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всего</w:t>
            </w:r>
          </w:p>
        </w:tc>
        <w:tc>
          <w:tcPr>
            <w:tcW w:w="3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180" w:firstLine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в том числе по месяцам с учетом прогнозного индекса цен в строительстве</w:t>
            </w:r>
          </w:p>
        </w:tc>
      </w:tr>
      <w:tr w:rsidR="00F53159">
        <w:trPr>
          <w:trHeight w:val="445"/>
          <w:jc w:val="center"/>
        </w:trPr>
        <w:tc>
          <w:tcPr>
            <w:tcW w:w="137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53159">
        <w:trPr>
          <w:trHeight w:val="455"/>
          <w:jc w:val="center"/>
        </w:trPr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9</w:t>
            </w:r>
          </w:p>
        </w:tc>
      </w:tr>
      <w:tr w:rsidR="00F53159">
        <w:trPr>
          <w:trHeight w:val="380"/>
          <w:jc w:val="center"/>
        </w:trPr>
        <w:tc>
          <w:tcPr>
            <w:tcW w:w="13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F53159" w:rsidRDefault="00F53159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spacing w:before="370" w:after="214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Итого</w:t>
      </w:r>
    </w:p>
    <w:p w:rsidR="00F53159" w:rsidRDefault="003B6544">
      <w:pPr>
        <w:spacing w:after="232"/>
        <w:ind w:right="58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 договорной (контрактной) цене на дату заключения договора</w:t>
      </w:r>
    </w:p>
    <w:p w:rsidR="00F53159" w:rsidRDefault="003B6544">
      <w:pPr>
        <w:spacing w:after="264"/>
        <w:ind w:right="58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Стоимость поставляемых заказчиком материалов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Подрядчик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</w:t>
      </w:r>
    </w:p>
    <w:p w:rsidR="00F53159" w:rsidRDefault="003B6544">
      <w:pPr>
        <w:ind w:left="700" w:right="5980" w:hanging="13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(должность, подпись) </w:t>
      </w:r>
    </w:p>
    <w:p w:rsidR="00F53159" w:rsidRDefault="003B6544">
      <w:pPr>
        <w:ind w:left="700" w:right="5980" w:hanging="13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       М.П.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      (инициалы, фамилия) 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</w:t>
      </w:r>
    </w:p>
    <w:p w:rsidR="00F53159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ind w:left="20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Приложение 2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spacing w:after="596"/>
        <w:ind w:left="3000" w:firstLine="6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Оформляется, на фирменном бланке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ind w:hanging="390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График платежей при  строительств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е(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выполнении работ)</w:t>
      </w:r>
    </w:p>
    <w:p w:rsidR="00F53159" w:rsidRDefault="003B6544">
      <w:pPr>
        <w:ind w:left="6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______________________________________ (наименование объекта)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e"/>
        <w:tblW w:w="971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632"/>
        <w:gridCol w:w="1650"/>
        <w:gridCol w:w="1230"/>
        <w:gridCol w:w="1260"/>
        <w:gridCol w:w="1894"/>
        <w:gridCol w:w="2044"/>
      </w:tblGrid>
      <w:tr w:rsidR="00F53159">
        <w:trPr>
          <w:trHeight w:val="525"/>
          <w:jc w:val="center"/>
        </w:trPr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Месяцы</w:t>
            </w:r>
          </w:p>
          <w:p w:rsidR="00F53159" w:rsidRDefault="003B6544">
            <w:pPr>
              <w:spacing w:before="120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строительства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Стоимость работ по графику, тыс. рублей</w:t>
            </w:r>
          </w:p>
        </w:tc>
        <w:tc>
          <w:tcPr>
            <w:tcW w:w="6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Сумма платежей, тыс. рублей</w:t>
            </w:r>
          </w:p>
        </w:tc>
      </w:tr>
      <w:tr w:rsidR="00F53159">
        <w:trPr>
          <w:trHeight w:val="510"/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</w:p>
        </w:tc>
      </w:tr>
      <w:tr w:rsidR="00F53159">
        <w:trPr>
          <w:trHeight w:val="1607"/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аванс, включая целевой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оплата за выполненные работы, бюджетные средства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оплата за выполненные работы, собственные средства</w:t>
            </w: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Апрель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45 755,50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Май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42 762,77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45 755,508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45 755,508</w:t>
            </w: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Июнь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2 992,73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42 762,77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42 762,77</w:t>
            </w: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Июль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2 992,73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2 992,73</w:t>
            </w: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Итого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91 511,00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91 511,00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91 511,00</w:t>
            </w:r>
          </w:p>
        </w:tc>
      </w:tr>
    </w:tbl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Подрядчик</w:t>
      </w:r>
    </w:p>
    <w:p w:rsidR="00F53159" w:rsidRDefault="003B6544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sz w:val="22"/>
          <w:szCs w:val="22"/>
        </w:rPr>
        <w:br/>
      </w:r>
    </w:p>
    <w:p w:rsidR="00F53159" w:rsidRDefault="003B6544">
      <w:pPr>
        <w:ind w:hanging="567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___________________      _______________________    ________________________           </w:t>
      </w:r>
    </w:p>
    <w:p w:rsidR="00F53159" w:rsidRDefault="003B6544">
      <w:pPr>
        <w:ind w:hanging="567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(должность)                          (подпись)                                  (Ф.И.О.)</w:t>
      </w:r>
    </w:p>
    <w:p w:rsidR="00F53159" w:rsidRDefault="003B6544">
      <w:pPr>
        <w:ind w:hanging="567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                                                                М.П.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F53159" w:rsidSect="003B6544">
      <w:pgSz w:w="11900" w:h="16840"/>
      <w:pgMar w:top="425" w:right="454" w:bottom="568" w:left="1701" w:header="0" w:footer="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A3375"/>
    <w:multiLevelType w:val="multilevel"/>
    <w:tmpl w:val="829AADF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53159"/>
    <w:rsid w:val="003B6544"/>
    <w:rsid w:val="0097069D"/>
    <w:rsid w:val="00A40537"/>
    <w:rsid w:val="00F5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E0"/>
  </w:style>
  <w:style w:type="paragraph" w:styleId="1">
    <w:name w:val="heading 1"/>
    <w:basedOn w:val="a"/>
    <w:next w:val="a"/>
    <w:link w:val="10"/>
    <w:uiPriority w:val="99"/>
    <w:qFormat/>
    <w:rsid w:val="00CE6E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E6E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E6E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E6E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E6E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E6EE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CE6EE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CE6E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</w:rPr>
  </w:style>
  <w:style w:type="paragraph" w:styleId="a7">
    <w:name w:val="Normal (Web)"/>
    <w:basedOn w:val="a"/>
    <w:uiPriority w:val="99"/>
    <w:rsid w:val="004B3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uiPriority w:val="99"/>
    <w:rsid w:val="004B320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61C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61C6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9712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uiPriority w:val="99"/>
    <w:rsid w:val="00497125"/>
    <w:pPr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97125"/>
    <w:pPr>
      <w:widowControl w:val="0"/>
      <w:autoSpaceDE w:val="0"/>
      <w:autoSpaceDN w:val="0"/>
    </w:pPr>
    <w:rPr>
      <w:rFonts w:eastAsia="Times New Roman"/>
    </w:rPr>
  </w:style>
  <w:style w:type="table" w:customStyle="1" w:styleId="ab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E0"/>
  </w:style>
  <w:style w:type="paragraph" w:styleId="1">
    <w:name w:val="heading 1"/>
    <w:basedOn w:val="a"/>
    <w:next w:val="a"/>
    <w:link w:val="10"/>
    <w:uiPriority w:val="99"/>
    <w:qFormat/>
    <w:rsid w:val="00CE6E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E6E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E6E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E6E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E6E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E6EE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CE6EE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CE6E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</w:rPr>
  </w:style>
  <w:style w:type="paragraph" w:styleId="a7">
    <w:name w:val="Normal (Web)"/>
    <w:basedOn w:val="a"/>
    <w:uiPriority w:val="99"/>
    <w:rsid w:val="004B3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uiPriority w:val="99"/>
    <w:rsid w:val="004B320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61C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61C6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9712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uiPriority w:val="99"/>
    <w:rsid w:val="00497125"/>
    <w:pPr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97125"/>
    <w:pPr>
      <w:widowControl w:val="0"/>
      <w:autoSpaceDE w:val="0"/>
      <w:autoSpaceDN w:val="0"/>
    </w:pPr>
    <w:rPr>
      <w:rFonts w:eastAsia="Times New Roman"/>
    </w:rPr>
  </w:style>
  <w:style w:type="table" w:customStyle="1" w:styleId="ab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dmbA1tGlU3JHndkdB9M3j0mDrQ==">AMUW2mUgaZt09EgBIsu2tTatskW5OtaKUnvptQ/9t6zKlt5bDHiN88VCBfuwIMfD1dqy3vcEQtw2ErEHvuVLLLaCV4C+gQ6PM+QWO0nyQ4mYvBLBuMKEwXOoJ/IJEWX/K9jewEo+6ewy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ЩЕРБАТЮК АЛЕКСАНДР ВИКТОРОВИЧ</dc:creator>
  <cp:lastModifiedBy>ЩЕРБАТЮК АЛЕКСАНДР ВИКТОРОВИЧ</cp:lastModifiedBy>
  <cp:revision>5</cp:revision>
  <cp:lastPrinted>2021-03-29T11:37:00Z</cp:lastPrinted>
  <dcterms:created xsi:type="dcterms:W3CDTF">2021-03-29T09:32:00Z</dcterms:created>
  <dcterms:modified xsi:type="dcterms:W3CDTF">2021-03-29T13:09:00Z</dcterms:modified>
</cp:coreProperties>
</file>